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346.66666666666663" w:lineRule="auto"/>
        <w:rPr>
          <w:rFonts w:ascii="IBM Plex Sans" w:cs="IBM Plex Sans" w:eastAsia="IBM Plex Sans" w:hAnsi="IBM Plex Sans"/>
          <w:b w:val="1"/>
          <w:sz w:val="27"/>
          <w:szCs w:val="27"/>
        </w:rPr>
      </w:pPr>
      <w:r w:rsidDel="00000000" w:rsidR="00000000" w:rsidRPr="00000000">
        <w:rPr>
          <w:rFonts w:ascii="IBM Plex Sans" w:cs="IBM Plex Sans" w:eastAsia="IBM Plex Sans" w:hAnsi="IBM Plex Sans"/>
          <w:b w:val="1"/>
          <w:sz w:val="27"/>
          <w:szCs w:val="27"/>
          <w:rtl w:val="0"/>
        </w:rPr>
        <w:t xml:space="preserve">About Whatfix </w:t>
      </w:r>
    </w:p>
    <w:p w:rsidR="00000000" w:rsidDel="00000000" w:rsidP="00000000" w:rsidRDefault="00000000" w:rsidRPr="00000000" w14:paraId="00000002">
      <w:pPr>
        <w:shd w:fill="ffffff" w:val="clear"/>
        <w:spacing w:before="280" w:line="346.66666666666663" w:lineRule="auto"/>
        <w:rPr>
          <w:rFonts w:ascii="IBM Plex Sans" w:cs="IBM Plex Sans" w:eastAsia="IBM Plex Sans" w:hAnsi="IBM Plex Sans"/>
          <w:sz w:val="27"/>
          <w:szCs w:val="27"/>
        </w:rPr>
      </w:pPr>
      <w:r w:rsidDel="00000000" w:rsidR="00000000" w:rsidRPr="00000000">
        <w:rPr>
          <w:rFonts w:ascii="IBM Plex Sans" w:cs="IBM Plex Sans" w:eastAsia="IBM Plex Sans" w:hAnsi="IBM Plex Sans"/>
          <w:sz w:val="27"/>
          <w:szCs w:val="27"/>
          <w:rtl w:val="0"/>
        </w:rPr>
        <w:t xml:space="preserve">Whatfix empowers anyone, anywhere to have scalable success with technology they use everyday, achieving greater knowledge, expanding capability, and unlocking productivity for themselves and their organizations. Whatfix’s Digital Adoption Platform (DAP) integrates seamlessly with applications to enable users, providing in-context information and guidance to immediately increase individual capability and collectively amplify productivity. The organization has seven offices globally in the US, India, UK, Germany, Singapore, and Australia, and works with Fortune 500 companies around the world. Whatfix has raised $140 million to date, and is backed by marquee investors including Softbank Vision Fund 2, Sequoia Capital India, and Cisco Investments. For more information, visit Whatfix’s</w:t>
      </w:r>
      <w:r w:rsidDel="00000000" w:rsidR="00000000" w:rsidRPr="00000000">
        <w:rPr>
          <w:rFonts w:ascii="IBM Plex Sans" w:cs="IBM Plex Sans" w:eastAsia="IBM Plex Sans" w:hAnsi="IBM Plex Sans"/>
          <w:sz w:val="27"/>
          <w:szCs w:val="27"/>
          <w:rtl w:val="0"/>
        </w:rPr>
        <w:t xml:space="preserve"> </w:t>
      </w:r>
      <w:hyperlink r:id="rId6">
        <w:r w:rsidDel="00000000" w:rsidR="00000000" w:rsidRPr="00000000">
          <w:rPr>
            <w:rFonts w:ascii="IBM Plex Sans" w:cs="IBM Plex Sans" w:eastAsia="IBM Plex Sans" w:hAnsi="IBM Plex Sans"/>
            <w:color w:val="ff9900"/>
            <w:sz w:val="27"/>
            <w:szCs w:val="27"/>
            <w:u w:val="single"/>
            <w:rtl w:val="0"/>
          </w:rPr>
          <w:t xml:space="preserve">website</w:t>
        </w:r>
      </w:hyperlink>
      <w:r w:rsidDel="00000000" w:rsidR="00000000" w:rsidRPr="00000000">
        <w:rPr>
          <w:rFonts w:ascii="IBM Plex Sans" w:cs="IBM Plex Sans" w:eastAsia="IBM Plex Sans" w:hAnsi="IBM Plex Sans"/>
          <w:sz w:val="27"/>
          <w:szCs w:val="27"/>
          <w:rtl w:val="0"/>
        </w:rPr>
        <w:t xml:space="preserve">.</w:t>
      </w:r>
    </w:p>
    <w:p w:rsidR="00000000" w:rsidDel="00000000" w:rsidP="00000000" w:rsidRDefault="00000000" w:rsidRPr="00000000" w14:paraId="00000003">
      <w:pPr>
        <w:rPr>
          <w:rFonts w:ascii="IBM Plex Sans" w:cs="IBM Plex Sans" w:eastAsia="IBM Plex Sans" w:hAnsi="IBM Plex Sans"/>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hatfix.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